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5AB27">
      <w:pPr>
        <w:rPr>
          <w:rFonts w:ascii="方正黑体_GBK" w:hAnsi="仿宋" w:eastAsia="方正黑体_GBK" w:cs="仿宋"/>
          <w:sz w:val="30"/>
          <w:szCs w:val="30"/>
        </w:rPr>
      </w:pPr>
      <w:r>
        <w:rPr>
          <w:rFonts w:hint="eastAsia" w:ascii="方正黑体_GBK" w:hAnsi="仿宋" w:eastAsia="方正黑体_GBK" w:cs="仿宋"/>
          <w:sz w:val="32"/>
          <w:szCs w:val="30"/>
        </w:rPr>
        <w:t>附件1</w:t>
      </w:r>
    </w:p>
    <w:p w14:paraId="4903AE0F">
      <w:pPr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2D3946BF">
      <w:pPr>
        <w:shd w:val="clear" w:color="auto" w:fill="FFFFFF"/>
        <w:spacing w:line="600" w:lineRule="exact"/>
        <w:jc w:val="center"/>
        <w:rPr>
          <w:rFonts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  <w:lang w:bidi="ar"/>
        </w:rPr>
      </w:pP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  <w:lang w:bidi="ar"/>
        </w:rPr>
        <w:t>关于</w:t>
      </w:r>
      <w:r>
        <w:rPr>
          <w:rFonts w:hint="eastAsia"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  <w:lang w:bidi="ar"/>
        </w:rPr>
        <w:t>“</w:t>
      </w: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  <w:lang w:bidi="ar"/>
        </w:rPr>
        <w:t>2027—2028年度成都金沙遗址博物馆文物库房日常用品采购项目</w:t>
      </w:r>
      <w:r>
        <w:rPr>
          <w:rFonts w:hint="eastAsia"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  <w:lang w:bidi="ar"/>
        </w:rPr>
        <w:t>”</w:t>
      </w:r>
      <w:r>
        <w:rPr>
          <w:rFonts w:ascii="Times New Roman" w:hAnsi="Times New Roman" w:eastAsia="方正小标宋_GBK" w:cs="Times New Roman"/>
          <w:bCs/>
          <w:color w:val="000000"/>
          <w:sz w:val="44"/>
          <w:szCs w:val="44"/>
          <w:shd w:val="clear" w:color="auto" w:fill="FFFFFF"/>
          <w:lang w:bidi="ar"/>
        </w:rPr>
        <w:t>价格调查的公告</w:t>
      </w:r>
      <w:r>
        <w:rPr>
          <w:rFonts w:hint="eastAsia" w:ascii="方正小标宋_GBK" w:eastAsia="方正小标宋_GBK"/>
          <w:color w:val="000000"/>
          <w:sz w:val="44"/>
          <w:szCs w:val="44"/>
        </w:rPr>
        <w:t>的回复</w:t>
      </w:r>
    </w:p>
    <w:p w14:paraId="095BEA4D">
      <w:pPr>
        <w:pStyle w:val="2"/>
        <w:widowControl/>
        <w:shd w:val="clear" w:color="auto" w:fill="FFFFFF"/>
        <w:spacing w:beforeAutospacing="0" w:afterAutospacing="0"/>
        <w:jc w:val="center"/>
        <w:rPr>
          <w:rFonts w:ascii="方正小标宋_GBK" w:hAnsi="MicrosoftYaHei" w:eastAsia="方正小标宋_GBK" w:cs="MicrosoftYaHei"/>
          <w:b w:val="0"/>
          <w:color w:val="000000"/>
          <w:kern w:val="2"/>
          <w:sz w:val="44"/>
          <w:szCs w:val="44"/>
          <w:shd w:val="clear" w:color="auto" w:fill="FFFFFF"/>
          <w:lang w:bidi="ar"/>
        </w:rPr>
      </w:pPr>
    </w:p>
    <w:p w14:paraId="26384871">
      <w:pPr>
        <w:shd w:val="clear" w:color="auto" w:fill="FFFFFF"/>
        <w:spacing w:line="600" w:lineRule="exac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成都金沙遗址博物馆</w:t>
      </w:r>
      <w:r>
        <w:rPr>
          <w:rFonts w:eastAsia="方正仿宋_GBK"/>
          <w:color w:val="000000"/>
          <w:sz w:val="32"/>
          <w:szCs w:val="30"/>
        </w:rPr>
        <w:t>：</w:t>
      </w:r>
      <w:bookmarkStart w:id="0" w:name="_GoBack"/>
      <w:bookmarkEnd w:id="0"/>
    </w:p>
    <w:p w14:paraId="583FE0EE">
      <w:pPr>
        <w:pStyle w:val="2"/>
        <w:widowControl/>
        <w:shd w:val="clear" w:color="auto" w:fill="FFFFFF"/>
        <w:spacing w:beforeAutospacing="0" w:afterAutospacing="0"/>
        <w:ind w:firstLine="640" w:firstLineChars="200"/>
        <w:jc w:val="both"/>
        <w:rPr>
          <w:rFonts w:hint="default" w:ascii="Times New Roman" w:hAnsi="Times New Roman" w:eastAsia="方正仿宋_GBK"/>
          <w:b w:val="0"/>
          <w:bCs w:val="0"/>
          <w:color w:val="000000"/>
          <w:kern w:val="2"/>
          <w:sz w:val="32"/>
          <w:szCs w:val="30"/>
        </w:rPr>
      </w:pPr>
      <w:r>
        <w:rPr>
          <w:rFonts w:hint="default" w:eastAsia="方正仿宋_GBK" w:asciiTheme="minorHAnsi" w:hAnsiTheme="minorHAnsi" w:cstheme="minorBidi"/>
          <w:b w:val="0"/>
          <w:bCs w:val="0"/>
          <w:color w:val="000000"/>
          <w:kern w:val="2"/>
          <w:sz w:val="32"/>
          <w:szCs w:val="30"/>
        </w:rPr>
        <w:t>贵单位</w:t>
      </w:r>
      <w:r>
        <w:rPr>
          <w:rFonts w:hint="default" w:ascii="Times New Roman" w:hAnsi="Times New Roman" w:eastAsia="方正仿宋_GBK"/>
          <w:b w:val="0"/>
          <w:bCs w:val="0"/>
          <w:color w:val="000000"/>
          <w:kern w:val="2"/>
          <w:sz w:val="32"/>
          <w:szCs w:val="30"/>
        </w:rPr>
        <w:t>于2026年7月2</w:t>
      </w:r>
      <w:r>
        <w:rPr>
          <w:rFonts w:hint="eastAsia" w:ascii="Times New Roman" w:hAnsi="Times New Roman" w:eastAsia="方正仿宋_GBK"/>
          <w:b w:val="0"/>
          <w:bCs w:val="0"/>
          <w:color w:val="000000"/>
          <w:kern w:val="2"/>
          <w:sz w:val="32"/>
          <w:szCs w:val="30"/>
          <w:lang w:val="en-US" w:eastAsia="zh-CN"/>
        </w:rPr>
        <w:t>0</w:t>
      </w:r>
      <w:r>
        <w:rPr>
          <w:rFonts w:hint="default" w:ascii="Times New Roman" w:hAnsi="Times New Roman" w:eastAsia="方正仿宋_GBK"/>
          <w:b w:val="0"/>
          <w:bCs w:val="0"/>
          <w:color w:val="000000"/>
          <w:kern w:val="2"/>
          <w:sz w:val="32"/>
          <w:szCs w:val="30"/>
        </w:rPr>
        <w:t>日发布的《成都金沙遗址博物馆关于“2027—2028年度成都金沙遗址博物馆文物库房日常用品采购项目”价格调查的公告调查的公告》收悉。经对项目内容进行认真研究，按照行业普遍标准，结合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25A4E80C">
      <w:pPr>
        <w:spacing w:line="576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最终实际报价，以我单位（或公司）参与本项目投标报价为准。</w:t>
      </w:r>
    </w:p>
    <w:p w14:paraId="4266E92E">
      <w:pPr>
        <w:spacing w:line="576" w:lineRule="exact"/>
        <w:ind w:firstLine="640" w:firstLineChars="200"/>
        <w:rPr>
          <w:rFonts w:ascii="Times New Roman" w:hAnsi="Times New Roman" w:eastAsia="方正仿宋_GBK" w:cs="Times New Roman"/>
          <w:bCs/>
          <w:sz w:val="32"/>
          <w:szCs w:val="30"/>
        </w:rPr>
      </w:pPr>
      <w:r>
        <w:rPr>
          <w:rFonts w:ascii="Times New Roman" w:hAnsi="Times New Roman" w:eastAsia="方正仿宋_GBK" w:cs="Times New Roman"/>
          <w:bCs/>
          <w:sz w:val="32"/>
          <w:szCs w:val="30"/>
        </w:rPr>
        <w:t>报价联系人：XXX，联系电话：XXX。</w:t>
      </w:r>
    </w:p>
    <w:p w14:paraId="010C54DE">
      <w:pPr>
        <w:spacing w:line="576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0"/>
        </w:rPr>
      </w:pPr>
    </w:p>
    <w:p w14:paraId="6757BD03">
      <w:pPr>
        <w:spacing w:line="576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附件：报价明细表</w:t>
      </w:r>
    </w:p>
    <w:p w14:paraId="2BFAF914">
      <w:pPr>
        <w:spacing w:line="576" w:lineRule="exact"/>
        <w:ind w:firstLine="640" w:firstLineChars="200"/>
        <w:rPr>
          <w:rFonts w:ascii="Times New Roman" w:hAnsi="Times New Roman" w:eastAsia="方正仿宋_GBK" w:cs="Times New Roman"/>
          <w:color w:val="000000"/>
          <w:sz w:val="32"/>
          <w:szCs w:val="30"/>
        </w:rPr>
      </w:pPr>
    </w:p>
    <w:p w14:paraId="563237B3">
      <w:pPr>
        <w:spacing w:line="576" w:lineRule="exact"/>
        <w:jc w:val="right"/>
        <w:rPr>
          <w:rFonts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（单位名称）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ab/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ab/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ab/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ab/>
      </w:r>
    </w:p>
    <w:p w14:paraId="1DB0C63D">
      <w:pPr>
        <w:ind w:right="960"/>
        <w:jc w:val="right"/>
        <w:rPr>
          <w:rFonts w:ascii="Times New Roman" w:hAnsi="Times New Roman" w:eastAsia="方正仿宋_GBK" w:cs="方正仿宋_GBK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0"/>
        </w:rPr>
        <w:t>2026年XX月XX</w:t>
      </w:r>
      <w:r>
        <w:rPr>
          <w:rFonts w:eastAsia="方正仿宋_GBK"/>
          <w:sz w:val="32"/>
          <w:szCs w:val="30"/>
        </w:rPr>
        <w:t>日</w:t>
      </w:r>
    </w:p>
    <w:p w14:paraId="5380C2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B0"/>
    <w:rsid w:val="00794425"/>
    <w:rsid w:val="00B339B0"/>
    <w:rsid w:val="1E9E1467"/>
    <w:rsid w:val="3910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328</Characters>
  <Lines>2</Lines>
  <Paragraphs>1</Paragraphs>
  <TotalTime>2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2026-07-20T09:49:00Z</dcterms:created>
  <dc:creator>Administrator</dc:creator>
  <cp:lastModifiedBy>吴彬</cp:lastModifiedBy>
  <dcterms:modified xsi:type="dcterms:W3CDTF">2026-07-21T09:22:24Z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D574423412E141D5A87D4CD06E8497D2_12</vt:lpwstr>
  </property>
</Properties>
</file>